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4853d" w:sz="12" w:space="6"/>
        </w:pBdr>
        <w:spacing w:after="60"/>
      </w:pPr>
      <w:r>
        <w:rPr>
          <w:rFonts w:ascii="Calibri" w:cs="Calibri" w:eastAsia="Calibri" w:hAnsi="Calibri"/>
          <w:b/>
          <w:bCs/>
          <w:color w:val="1f2d3d"/>
          <w:sz w:val="34"/>
          <w:szCs w:val="34"/>
        </w:rPr>
        <w:t xml:space="preserve">PROTOKÓŁ ODBIORU MIESZKANIA</w:t>
      </w:r>
    </w:p>
    <w:p>
      <w:pPr>
        <w:spacing w:after="12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shd w:fill="b4853d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1. Dane odbioru</w:t>
            </w:r>
          </w:p>
        </w:tc>
      </w:tr>
    </w:tbl>
    <w:p>
      <w:pPr>
        <w:spacing w:after="55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28"/>
        <w:gridCol w:w="7064"/>
      </w:tblGrid>
      <w:tr>
        <w:trPr>
          <w:trHeight w:val="400" w:hRule="atLeast"/>
        </w:trPr>
        <w:tc>
          <w:tcPr>
            <w:tcW w:type="dxa" w:w="3028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eef2f7" w:color="auto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Data odbioru</w:t>
            </w:r>
          </w:p>
        </w:tc>
        <w:tc>
          <w:tcPr>
            <w:tcW w:type="dxa" w:w="70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3028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eef2f7" w:color="auto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Godzina rozpoczęcia / zakończenia</w:t>
            </w:r>
          </w:p>
        </w:tc>
        <w:tc>
          <w:tcPr>
            <w:tcW w:type="dxa" w:w="70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3028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eef2f7" w:color="auto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Adres inwestycji</w:t>
            </w:r>
          </w:p>
        </w:tc>
        <w:tc>
          <w:tcPr>
            <w:tcW w:type="dxa" w:w="70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3028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eef2f7" w:color="auto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Etap inwestycji / budynek</w:t>
            </w:r>
          </w:p>
        </w:tc>
        <w:tc>
          <w:tcPr>
            <w:tcW w:type="dxa" w:w="70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3028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eef2f7" w:color="auto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Numer lokalu / kondygnacja</w:t>
            </w:r>
          </w:p>
        </w:tc>
        <w:tc>
          <w:tcPr>
            <w:tcW w:type="dxa" w:w="70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3028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eef2f7" w:color="auto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Powierzchnia wg umowy (m2)</w:t>
            </w:r>
          </w:p>
        </w:tc>
        <w:tc>
          <w:tcPr>
            <w:tcW w:type="dxa" w:w="70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3028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eef2f7" w:color="auto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Numer i data umowy deweloperskiej</w:t>
            </w:r>
          </w:p>
        </w:tc>
        <w:tc>
          <w:tcPr>
            <w:tcW w:type="dxa" w:w="70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</w:tr>
    </w:tbl>
    <w:p>
      <w:pPr>
        <w:spacing w:after="9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shd w:fill="b4853d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2. Strony odbioru</w:t>
            </w:r>
          </w:p>
        </w:tc>
      </w:tr>
    </w:tbl>
    <w:p>
      <w:pPr>
        <w:spacing w:after="55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986"/>
        <w:gridCol w:w="120"/>
        <w:gridCol w:w="4986"/>
      </w:tblGrid>
      <w:tr>
        <w:tc>
          <w:tcPr>
            <w:tcW w:type="dxa" w:w="498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Nabywca (lub pełnomocnik)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16"/>
                <w:szCs w:val="16"/>
              </w:rPr>
              <w:t xml:space="preserve">Imię i nazwisko / firma:</w:t>
            </w:r>
          </w:p>
          <w:p>
            <w:pPr>
              <w:spacing w:after="1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16"/>
                <w:szCs w:val="16"/>
              </w:rPr>
              <w:t xml:space="preserve">Telefon / e-mail:</w:t>
            </w:r>
          </w:p>
          <w:p>
            <w:pPr>
              <w:spacing w:after="1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16"/>
                <w:szCs w:val="16"/>
              </w:rPr>
              <w:t xml:space="preserve">Nr dokumentu / pełnomocnictwa:</w:t>
            </w:r>
          </w:p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  <w:tc>
          <w:tcPr>
            <w:tcW w:type="dxa" w:w="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  <w:tc>
          <w:tcPr>
            <w:tcW w:type="dxa" w:w="498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d3d"/>
                <w:sz w:val="18"/>
                <w:szCs w:val="18"/>
              </w:rPr>
              <w:t xml:space="preserve">Przedstawiciel dewelopera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16"/>
                <w:szCs w:val="16"/>
              </w:rPr>
              <w:t xml:space="preserve">Imię i nazwisko / firma:</w:t>
            </w:r>
          </w:p>
          <w:p>
            <w:pPr>
              <w:spacing w:after="1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16"/>
                <w:szCs w:val="16"/>
              </w:rPr>
              <w:t xml:space="preserve">Telefon / e-mail:</w:t>
            </w:r>
          </w:p>
          <w:p>
            <w:pPr>
              <w:spacing w:after="1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16"/>
                <w:szCs w:val="16"/>
              </w:rPr>
              <w:t xml:space="preserve">Nr dokumentu / pełnomocnictwa:</w:t>
            </w:r>
          </w:p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</w:tr>
    </w:tbl>
    <w:p>
      <w:pPr>
        <w:spacing w:after="9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shd w:fill="b4853d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3. Pomieszczenia przynależne objęte odbiorem</w:t>
            </w:r>
          </w:p>
        </w:tc>
      </w:tr>
    </w:tbl>
    <w:p>
      <w:pPr>
        <w:spacing w:after="55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4"/>
        <w:gridCol w:w="3364"/>
        <w:gridCol w:w="3364"/>
      </w:tblGrid>
      <w:tr>
        <w:tc>
          <w:tcPr>
            <w:tcW w:type="dxa" w:w="33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  Balkon / loggia / taras</w:t>
            </w:r>
          </w:p>
        </w:tc>
        <w:tc>
          <w:tcPr>
            <w:tcW w:type="dxa" w:w="33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  Komórka lokatorska</w:t>
            </w:r>
          </w:p>
        </w:tc>
        <w:tc>
          <w:tcPr>
            <w:tcW w:type="dxa" w:w="33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  Miejsce postojowe / garaż</w:t>
            </w:r>
          </w:p>
        </w:tc>
      </w:tr>
      <w:tr>
        <w:tc>
          <w:tcPr>
            <w:tcW w:type="dxa" w:w="33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  Ogródek</w:t>
            </w:r>
          </w:p>
        </w:tc>
        <w:tc>
          <w:tcPr>
            <w:tcW w:type="dxa" w:w="33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  Piwnica</w:t>
            </w:r>
          </w:p>
        </w:tc>
        <w:tc>
          <w:tcPr>
            <w:tcW w:type="dxa" w:w="3364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  Inne:</w:t>
            </w:r>
          </w:p>
        </w:tc>
      </w:tr>
    </w:tbl>
    <w:p>
      <w:pPr>
        <w:spacing w:after="9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shd w:fill="b4853d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4. Lista kontrolna stanu technicznego</w:t>
            </w:r>
          </w:p>
        </w:tc>
      </w:tr>
    </w:tbl>
    <w:p>
      <w:pPr>
        <w:spacing w:after="55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92"/>
        <w:gridCol w:w="1800"/>
        <w:gridCol w:w="1800"/>
      </w:tblGrid>
      <w:tr>
        <w:trPr>
          <w:tblHeader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Element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Bez uwag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Usterka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Ściany i sufity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Posadzki / wylewki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Okna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Drzwi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Wentylacja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Instalacja elektryczna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Instalacja wodno-kanalizacyjna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Płytki / glazura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  <w:tr>
        <w:trPr>
          <w:trHeight w:val="300" w:hRule="atLeast"/>
        </w:trPr>
        <w:tc>
          <w:tcPr>
            <w:tcW w:type="dxa" w:w="64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Standard wykończenia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  <w:tc>
          <w:tcPr>
            <w:tcW w:type="dxa" w:w="18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☐</w:t>
            </w:r>
          </w:p>
        </w:tc>
      </w:tr>
    </w:tbl>
    <w:p>
      <w:pPr>
        <w:spacing w:after="40"/>
      </w:pPr>
      <w:r>
        <w:rPr>
          <w:sz w:val="2"/>
          <w:szCs w:val="2"/>
        </w:rPr>
        <w:t xml:space="preserve"/>
      </w:r>
    </w:p>
    <w:p>
      <w:pPr>
        <w:spacing w:after="0" w:before="0"/>
        <w:jc w:val="left"/>
      </w:pPr>
      <w:r>
        <w:rPr>
          <w:rFonts w:ascii="Calibri" w:cs="Calibri" w:eastAsia="Calibri" w:hAnsi="Calibri"/>
          <w:b w:val="false"/>
          <w:bCs w:val="false"/>
          <w:color w:val="6b7280"/>
          <w:sz w:val="16"/>
          <w:szCs w:val="16"/>
        </w:rPr>
        <w:t xml:space="preserve">Zaznaczone usterki opisz szczegółowo w tabeli poniżej.</w:t>
      </w:r>
    </w:p>
    <w:p>
      <w:pPr>
        <w:spacing w:after="9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shd w:fill="b4853d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5. Wykaz stwierdzonych usterek i uwag</w:t>
            </w:r>
          </w:p>
        </w:tc>
      </w:tr>
    </w:tbl>
    <w:p>
      <w:pPr>
        <w:spacing w:after="60"/>
      </w:pPr>
      <w:r>
        <w:rPr>
          <w:sz w:val="2"/>
          <w:szCs w:val="2"/>
        </w:rPr>
        <w:t xml:space="preserve"/>
      </w:r>
    </w:p>
    <w:p>
      <w:pPr>
        <w:spacing w:after="0" w:before="0"/>
        <w:jc w:val="left"/>
      </w:pPr>
      <w:r>
        <w:rPr>
          <w:rFonts w:ascii="Calibri" w:cs="Calibri" w:eastAsia="Calibri" w:hAnsi="Calibri"/>
          <w:b w:val="false"/>
          <w:bCs w:val="false"/>
          <w:color w:val="6b7280"/>
          <w:sz w:val="16"/>
          <w:szCs w:val="16"/>
        </w:rPr>
        <w:t xml:space="preserve">Usterki opisuj konkretnie, z lokalizacją (np. „okno w sypialni, nieszczelność ok. 2 mm w lewym dolnym narożniku”). Numer zdjęcia ułatwia powiązanie wpisu z fotografią.</w:t>
      </w:r>
    </w:p>
    <w:p>
      <w:pPr>
        <w:spacing w:after="55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700"/>
        <w:gridCol w:w="4892"/>
        <w:gridCol w:w="1200"/>
        <w:gridCol w:w="1700"/>
      </w:tblGrid>
      <w:tr>
        <w:trPr>
          <w:tblHeader/>
        </w:trPr>
        <w:tc>
          <w:tcPr>
            <w:tcW w:type="dxa" w:w="6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Lp.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Pomieszczenie</w:t>
            </w:r>
          </w:p>
        </w:tc>
        <w:tc>
          <w:tcPr>
            <w:tcW w:type="dxa" w:w="48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Opis usterki, lokalizacja i zakres niezgodności</w:t>
            </w:r>
          </w:p>
        </w:tc>
        <w:tc>
          <w:tcPr>
            <w:tcW w:type="dxa" w:w="12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Nr zdjęcia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Termin usunięcia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1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48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2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48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3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48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4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48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5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48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6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48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7f9fb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7</w:t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48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</w:tbl>
    <w:p>
      <w:pPr>
        <w:spacing w:after="60"/>
      </w:pPr>
      <w:r>
        <w:rPr>
          <w:sz w:val="2"/>
          <w:szCs w:val="2"/>
        </w:rPr>
        <w:t xml:space="preserve"/>
      </w:r>
    </w:p>
    <w:p>
      <w:pPr>
        <w:spacing w:after="0" w:before="0"/>
        <w:jc w:val="left"/>
      </w:pPr>
      <w:r>
        <w:rPr>
          <w:rFonts w:ascii="Calibri" w:cs="Calibri" w:eastAsia="Calibri" w:hAnsi="Calibri"/>
          <w:b w:val="false"/>
          <w:bCs w:val="false"/>
          <w:color w:val="6b7280"/>
          <w:sz w:val="16"/>
          <w:szCs w:val="16"/>
        </w:rPr>
        <w:t xml:space="preserve">W razie potrzeby dołącz dodatkową kartę z dalszymi pozycjami.</w:t>
      </w:r>
    </w:p>
    <w:p>
      <w:pPr>
        <w:spacing w:after="9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shd w:fill="b4853d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6. Stany liczników na dzień odbioru</w:t>
            </w:r>
          </w:p>
        </w:tc>
      </w:tr>
    </w:tbl>
    <w:p>
      <w:pPr>
        <w:spacing w:after="55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26"/>
        <w:gridCol w:w="2220"/>
        <w:gridCol w:w="2220"/>
        <w:gridCol w:w="2826"/>
      </w:tblGrid>
      <w:tr>
        <w:trPr>
          <w:tblHeader/>
        </w:trPr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Medium</w:t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Nr licznika</w:t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Stan</w:t>
            </w:r>
          </w:p>
        </w:tc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b4853d" w:color="auto" w:val="clear"/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Uwagi</w:t>
            </w:r>
          </w:p>
        </w:tc>
      </w:tr>
      <w:tr>
        <w:trPr>
          <w:trHeight w:val="360" w:hRule="atLeast"/>
        </w:trPr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Woda zimna</w:t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Woda ciepła</w:t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Energia elektryczna</w:t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Gaz</w:t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Ciepło (CO)</w:t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220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  <w:tc>
          <w:tcPr>
            <w:tcW w:type="dxa" w:w="2826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tcMar>
              <w:top w:type="dxa" w:w="30"/>
              <w:left w:type="dxa" w:w="100"/>
              <w:bottom w:type="dxa" w:w="30"/>
              <w:right w:type="dxa" w:w="10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/>
            </w:r>
          </w:p>
        </w:tc>
      </w:tr>
    </w:tbl>
    <w:p>
      <w:pPr>
        <w:spacing w:after="9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shd w:fill="b4853d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7. Ustalenia końcowe i terminy</w:t>
            </w:r>
          </w:p>
        </w:tc>
      </w:tr>
    </w:tbl>
    <w:p>
      <w:pPr>
        <w:spacing w:after="55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tcBorders>
              <w:top w:val="single" w:color="c8ced6" w:sz="4"/>
              <w:left w:val="single" w:color="c8ced6" w:sz="4"/>
              <w:bottom w:val="single" w:color="c8ced6" w:sz="4"/>
              <w:right w:val="single" w:color="c8ced6" w:sz="4"/>
            </w:tcBorders>
            <w:shd w:fill="fbfcfd" w:color="auto" w:val="clear"/>
            <w:tcMar>
              <w:top w:type="dxa" w:w="100"/>
              <w:left w:type="dxa" w:w="140"/>
              <w:bottom w:type="dxa" w:w="150"/>
              <w:right w:type="dxa" w:w="140"/>
            </w:tcMar>
          </w:tcPr>
          <w:p>
            <w:pPr>
              <w:spacing w:after="1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Zgodnie z ustawą deweloperską deweloper ma 14 dni na ustosunkowanie się do usterek zgłoszonych w protokole. Jeśli je uzna, powinien usunąć je w ciągu 30 dni od dnia podpisania protokołu, chyba że mimo zachowania należytej staranności naprawa w tym terminie nie jest możliwa. Wtedy deweloper wskazuje inny, uzasadniony termin. Poza protokołem nabywcy przysługuje rękojmia za wady fizyczne nieruchomości.</w:t>
            </w:r>
          </w:p>
          <w:p>
            <w:pPr>
              <w:spacing w:after="1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Liczba przekazanych kompletów kluczy / pilotów: ................................</w:t>
            </w:r>
          </w:p>
          <w:p>
            <w:pPr>
              <w:spacing w:after="1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Uzgodniony termin usunięcia usterek: ................................................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8"/>
                <w:szCs w:val="18"/>
              </w:rPr>
              <w:t xml:space="preserve">Dodatkowe uwagi stron:</w:t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92"/>
      </w:tblGrid>
      <w:tr>
        <w:tc>
          <w:tcPr>
            <w:tcW w:type="dxa" w:w="10092"/>
            <w:shd w:fill="b4853d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8. Podpisy stron</w:t>
            </w:r>
          </w:p>
        </w:tc>
      </w:tr>
    </w:tbl>
    <w:p>
      <w:pPr>
        <w:spacing w:after="55"/>
      </w:pPr>
      <w:r>
        <w:rPr>
          <w:sz w:val="2"/>
          <w:szCs w:val="2"/>
        </w:rPr>
        <w:t xml:space="preserve"/>
      </w:r>
    </w:p>
    <w:p>
      <w:pPr>
        <w:spacing w:after="260" w:before="0"/>
        <w:jc w:val="left"/>
      </w:pPr>
      <w:r>
        <w:rPr>
          <w:rFonts w:ascii="Calibri" w:cs="Calibri" w:eastAsia="Calibri" w:hAnsi="Calibri"/>
          <w:b w:val="false"/>
          <w:bCs w:val="false"/>
          <w:color w:val="1f2d3d"/>
          <w:sz w:val="18"/>
          <w:szCs w:val="18"/>
        </w:rPr>
        <w:t xml:space="preserve">Data i miejsce podpisania: ...................................................................</w:t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926"/>
        <w:gridCol w:w="240"/>
        <w:gridCol w:w="4926"/>
      </w:tblGrid>
      <w:tr>
        <w:tc>
          <w:tcPr>
            <w:tcW w:type="dxa" w:w="4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>......................................................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16"/>
                <w:szCs w:val="16"/>
              </w:rPr>
              <w:t xml:space="preserve">Nabywca (lub pełnomocnik)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/>
            </w:r>
          </w:p>
        </w:tc>
        <w:tc>
          <w:tcPr>
            <w:tcW w:type="dxa" w:w="4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f2d3d"/>
                <w:sz w:val="19"/>
                <w:szCs w:val="19"/>
              </w:rPr>
              <w:t xml:space="preserve">......................................................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16"/>
                <w:szCs w:val="16"/>
              </w:rPr>
              <w:t xml:space="preserve">Przedstawiciel dewelopera</w:t>
            </w:r>
          </w:p>
        </w:tc>
      </w:tr>
    </w:tbl>
    <w:p>
      <w:pPr>
        <w:spacing w:after="60"/>
      </w:pPr>
      <w:r>
        <w:rPr>
          <w:sz w:val="2"/>
          <w:szCs w:val="2"/>
        </w:rPr>
        <w:t xml:space="preserve"/>
      </w:r>
    </w:p>
    <w:p>
      <w:pPr>
        <w:spacing w:after="0" w:before="0"/>
        <w:jc w:val="center"/>
      </w:pPr>
      <w:r>
        <w:rPr>
          <w:rFonts w:ascii="Calibri" w:cs="Calibri" w:eastAsia="Calibri" w:hAnsi="Calibri"/>
          <w:b w:val="false"/>
          <w:bCs w:val="false"/>
          <w:color w:val="6b7280"/>
          <w:sz w:val="16"/>
          <w:szCs w:val="16"/>
        </w:rPr>
        <w:t xml:space="preserve">Protokół sporządzono w dwóch jednobrzmiących egzemplarzach, po jednym dla każdej ze stron.</w:t>
      </w:r>
    </w:p>
    <w:p>
      <w:pPr>
        <w:spacing w:after="120"/>
      </w:pPr>
      <w:r>
        <w:rPr>
          <w:sz w:val="2"/>
          <w:szCs w:val="2"/>
        </w:rPr>
        <w:t xml:space="preserve"/>
      </w:r>
    </w:p>
    <w:p>
      <w:pPr>
        <w:spacing w:after="0" w:before="0"/>
        <w:jc w:val="center"/>
      </w:pPr>
      <w:r>
        <w:rPr>
          <w:rFonts w:ascii="Calibri" w:cs="Calibri" w:eastAsia="Calibri" w:hAnsi="Calibri"/>
          <w:b w:val="false"/>
          <w:bCs w:val="false"/>
          <w:color w:val="6b7280"/>
          <w:sz w:val="15"/>
          <w:szCs w:val="15"/>
        </w:rPr>
        <w:t xml:space="preserve">Dokument ma charakter pomocniczy. Dostosuj do własnej inwestycji. Nie stanowi porady prawnej.</w:t>
      </w:r>
    </w:p>
    <w:sectPr>
      <w:pgSz w:w="11906" w:h="16838" w:orient="portrait"/>
      <w:pgMar w:top="794" w:right="907" w:bottom="794" w:left="90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d3d"/>
        <w:sz w:val="19"/>
        <w:szCs w:val="19"/>
      </w:rPr>
    </w:rPrDefault>
    <w:pPrDefault>
      <w:pPr>
        <w:spacing w:after="0" w:before="0" w:line="24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 mieszkania - wzór</dc:title>
  <dc:creator>Wzór dokumentu</dc:creator>
  <cp:lastModifiedBy>Un-named</cp:lastModifiedBy>
  <cp:revision>1</cp:revision>
  <dcterms:created xsi:type="dcterms:W3CDTF">2026-08-04T18:06:15.841Z</dcterms:created>
  <dcterms:modified xsi:type="dcterms:W3CDTF">2026-08-04T18:06:15.841Z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